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37DFC" w:rsidP="00837DFC" w14:paraId="64C18C4D" w14:textId="77777777">
      <w:pPr>
        <w:spacing w:line="480" w:lineRule="auto"/>
        <w:jc w:val="center"/>
      </w:pPr>
    </w:p>
    <w:p w:rsidR="00837DFC" w:rsidP="00837DFC" w14:paraId="088DE366" w14:textId="77777777">
      <w:pPr>
        <w:spacing w:line="480" w:lineRule="auto"/>
        <w:jc w:val="center"/>
      </w:pPr>
    </w:p>
    <w:p w:rsidR="00837DFC" w:rsidP="00837DFC" w14:paraId="70E5B7BF" w14:textId="77777777">
      <w:pPr>
        <w:spacing w:line="480" w:lineRule="auto"/>
        <w:jc w:val="center"/>
      </w:pPr>
    </w:p>
    <w:p w:rsidR="00837DFC" w:rsidP="00837DFC" w14:paraId="6CA460FB" w14:textId="77777777">
      <w:pPr>
        <w:spacing w:line="480" w:lineRule="auto"/>
        <w:jc w:val="center"/>
      </w:pPr>
    </w:p>
    <w:p w:rsidR="00837DFC" w:rsidP="00837DFC" w14:paraId="42EAE844" w14:textId="77777777">
      <w:pPr>
        <w:spacing w:line="480" w:lineRule="auto"/>
        <w:jc w:val="center"/>
      </w:pPr>
    </w:p>
    <w:p w:rsidR="00837DFC" w:rsidP="00837DFC" w14:paraId="70385332" w14:textId="77777777">
      <w:pPr>
        <w:spacing w:line="480" w:lineRule="auto"/>
        <w:jc w:val="center"/>
      </w:pPr>
    </w:p>
    <w:p w:rsidR="00837DFC" w:rsidP="00837DFC" w14:paraId="54B18933" w14:textId="48DD6353">
      <w:pPr>
        <w:spacing w:line="480" w:lineRule="auto"/>
        <w:jc w:val="center"/>
      </w:pPr>
      <w:r>
        <w:t>Telemedicine Analysis Plan</w:t>
      </w:r>
    </w:p>
    <w:p w:rsidR="00837DFC" w:rsidP="00837DFC" w14:paraId="15EEA9E1" w14:textId="1A7BD858">
      <w:pPr>
        <w:spacing w:line="480" w:lineRule="auto"/>
        <w:jc w:val="center"/>
      </w:pPr>
      <w:r>
        <w:t>Student name</w:t>
      </w:r>
    </w:p>
    <w:p w:rsidR="00837DFC" w:rsidP="00837DFC" w14:paraId="1C2778F8" w14:textId="3F1DE39C">
      <w:pPr>
        <w:spacing w:line="480" w:lineRule="auto"/>
        <w:jc w:val="center"/>
      </w:pPr>
      <w:r>
        <w:t>Institution affiliation.</w:t>
      </w:r>
    </w:p>
    <w:p w:rsidR="00837DFC" w:rsidP="00837DFC" w14:paraId="78B1AC1D" w14:textId="472F0D80">
      <w:pPr>
        <w:spacing w:line="480" w:lineRule="auto"/>
        <w:jc w:val="center"/>
      </w:pPr>
      <w:r>
        <w:t>Date</w:t>
      </w:r>
    </w:p>
    <w:p w:rsidR="00837DFC" w14:paraId="61E271A7" w14:textId="0C76A143">
      <w:r>
        <w:br w:type="page"/>
      </w:r>
    </w:p>
    <w:p w:rsidR="00F83AAC" w:rsidRPr="00AC0430" w:rsidP="00AC0430" w14:paraId="5ACB5DE1" w14:textId="750ED295">
      <w:pPr>
        <w:spacing w:line="480" w:lineRule="auto"/>
        <w:ind w:firstLine="720"/>
        <w:jc w:val="both"/>
        <w:rPr>
          <w:rFonts w:cs="Times New Roman"/>
          <w:b/>
          <w:bCs/>
          <w:szCs w:val="24"/>
        </w:rPr>
      </w:pPr>
      <w:r w:rsidRPr="00AC0430">
        <w:rPr>
          <w:rFonts w:cs="Times New Roman"/>
          <w:b/>
          <w:bCs/>
        </w:rPr>
        <w:t>Introduction.</w:t>
      </w:r>
      <w:r w:rsidRPr="00AC0430">
        <w:rPr>
          <w:rFonts w:cs="Times New Roman"/>
          <w:b/>
          <w:bCs/>
          <w:szCs w:val="24"/>
        </w:rPr>
        <w:t xml:space="preserve"> </w:t>
      </w:r>
    </w:p>
    <w:p w:rsidR="00F83AAC" w:rsidRPr="00AC0430" w:rsidP="00AC0430" w14:paraId="1F59B59E" w14:textId="3F51BD41">
      <w:pPr>
        <w:spacing w:line="480" w:lineRule="auto"/>
        <w:ind w:firstLine="720"/>
        <w:jc w:val="both"/>
        <w:rPr>
          <w:rFonts w:cs="Times New Roman"/>
          <w:szCs w:val="24"/>
        </w:rPr>
      </w:pPr>
      <w:r w:rsidRPr="00AC0430">
        <w:rPr>
          <w:rFonts w:cs="Times New Roman"/>
          <w:szCs w:val="24"/>
        </w:rPr>
        <w:t>Research analysis refers to the activities involved in making sense and finding meanings of the data collected during qualitative and quantitative research. It encompasses the methods involved in the interpretation of the data collected by using logical reasoning and performing analytics to find patterns, relationships, and trends (</w:t>
      </w:r>
      <w:r w:rsidRPr="00AC0430">
        <w:rPr>
          <w:rFonts w:cs="Times New Roman"/>
          <w:szCs w:val="24"/>
        </w:rPr>
        <w:t>Tesch</w:t>
      </w:r>
      <w:r w:rsidRPr="00AC0430">
        <w:rPr>
          <w:rFonts w:cs="Times New Roman"/>
          <w:szCs w:val="24"/>
        </w:rPr>
        <w:t>, 2013).</w:t>
      </w:r>
      <w:r w:rsidRPr="00AC0430">
        <w:rPr>
          <w:rFonts w:cs="Times New Roman"/>
          <w:szCs w:val="24"/>
        </w:rPr>
        <w:t xml:space="preserve"> </w:t>
      </w:r>
      <w:r w:rsidRPr="00AC0430">
        <w:rPr>
          <w:rFonts w:cs="Times New Roman"/>
          <w:szCs w:val="24"/>
        </w:rPr>
        <w:t xml:space="preserve">For quantitative research, data analysis is done through </w:t>
      </w:r>
      <w:r w:rsidRPr="00AC0430">
        <w:rPr>
          <w:rFonts w:cs="Times New Roman"/>
          <w:szCs w:val="24"/>
        </w:rPr>
        <w:t>narrative analysis.</w:t>
      </w:r>
      <w:r w:rsidRPr="00AC0430">
        <w:rPr>
          <w:rFonts w:cs="Times New Roman"/>
          <w:szCs w:val="24"/>
        </w:rPr>
        <w:t xml:space="preserve"> Narrative analysis analyses data gathered from interviews, surveys, questionnaires, and observation. </w:t>
      </w:r>
      <w:r w:rsidRPr="00AC0430" w:rsidR="00924E38">
        <w:rPr>
          <w:rFonts w:cs="Times New Roman"/>
          <w:szCs w:val="24"/>
        </w:rPr>
        <w:t>This chapter focuses on aims at explaining the methods used for analysis to comprehend</w:t>
      </w:r>
      <w:r w:rsidRPr="00AC0430" w:rsidR="00924E38">
        <w:rPr>
          <w:rFonts w:cs="Times New Roman"/>
          <w:szCs w:val="24"/>
        </w:rPr>
        <w:t xml:space="preserve"> the strengths and weaknesses of telemedicine during the coronavirus era. </w:t>
      </w:r>
    </w:p>
    <w:p w:rsidR="00B04EFA" w:rsidRPr="00AC0430" w:rsidP="00AC0430" w14:paraId="52303193" w14:textId="77777777">
      <w:pPr>
        <w:spacing w:line="480" w:lineRule="auto"/>
        <w:ind w:firstLine="720"/>
        <w:jc w:val="both"/>
        <w:rPr>
          <w:rFonts w:cs="Times New Roman"/>
          <w:b/>
          <w:bCs/>
        </w:rPr>
      </w:pPr>
      <w:r w:rsidRPr="00AC0430">
        <w:rPr>
          <w:rFonts w:cs="Times New Roman"/>
          <w:b/>
          <w:bCs/>
        </w:rPr>
        <w:t>Descriptive analysis</w:t>
      </w:r>
      <w:r w:rsidRPr="00AC0430" w:rsidR="00924E38">
        <w:rPr>
          <w:rFonts w:cs="Times New Roman"/>
          <w:b/>
          <w:bCs/>
        </w:rPr>
        <w:t>.</w:t>
      </w:r>
    </w:p>
    <w:p w:rsidR="00924E38" w:rsidRPr="00AC0430" w:rsidP="00AC0430" w14:paraId="54702DB1" w14:textId="6F349C85">
      <w:pPr>
        <w:spacing w:line="480" w:lineRule="auto"/>
        <w:ind w:firstLine="720"/>
        <w:jc w:val="both"/>
        <w:rPr>
          <w:rFonts w:cs="Times New Roman"/>
        </w:rPr>
      </w:pPr>
      <w:r w:rsidRPr="00AC0430">
        <w:rPr>
          <w:rFonts w:cs="Times New Roman"/>
          <w:szCs w:val="24"/>
        </w:rPr>
        <w:t>The descriptive analysis involves the process of using different basic components to describe simple information in the study. They help in the provision of summaries about the data and thy form the basic features of quantitative analysis of data. The descriptive analysis allows the researcher to simplify enormous amounts of data in a functional way</w:t>
      </w:r>
      <w:r w:rsidRPr="00AC0430" w:rsidR="00D325EC">
        <w:rPr>
          <w:rFonts w:cs="Times New Roman"/>
          <w:szCs w:val="24"/>
        </w:rPr>
        <w:t xml:space="preserve"> (</w:t>
      </w:r>
      <w:r w:rsidRPr="00AC0430" w:rsidR="00D325EC">
        <w:rPr>
          <w:rFonts w:cs="Times New Roman"/>
          <w:szCs w:val="24"/>
        </w:rPr>
        <w:t>Rombey</w:t>
      </w:r>
      <w:r w:rsidRPr="00AC0430" w:rsidR="00D325EC">
        <w:rPr>
          <w:rFonts w:cs="Times New Roman"/>
          <w:szCs w:val="24"/>
        </w:rPr>
        <w:t xml:space="preserve"> et al, 2019)</w:t>
      </w:r>
      <w:r w:rsidRPr="00AC0430">
        <w:rPr>
          <w:rFonts w:cs="Times New Roman"/>
          <w:szCs w:val="24"/>
        </w:rPr>
        <w:t>. Descriptive analysis is cheap and easier to and may be done over a large area population. However, descriptive data cannot be used to generalize information. Descriptive analysis w</w:t>
      </w:r>
      <w:r w:rsidRPr="00AC0430">
        <w:rPr>
          <w:rFonts w:cs="Times New Roman"/>
          <w:szCs w:val="24"/>
        </w:rPr>
        <w:t>ill be</w:t>
      </w:r>
      <w:r w:rsidRPr="00AC0430">
        <w:rPr>
          <w:rFonts w:cs="Times New Roman"/>
          <w:szCs w:val="24"/>
        </w:rPr>
        <w:t xml:space="preserve"> used to analyze demographic information such as gender participation, age of respondents, and work experience. It w</w:t>
      </w:r>
      <w:r w:rsidRPr="00AC0430">
        <w:rPr>
          <w:rFonts w:cs="Times New Roman"/>
          <w:szCs w:val="24"/>
        </w:rPr>
        <w:t>ill also be</w:t>
      </w:r>
      <w:r w:rsidRPr="00AC0430">
        <w:rPr>
          <w:rFonts w:cs="Times New Roman"/>
          <w:szCs w:val="24"/>
        </w:rPr>
        <w:t xml:space="preserve"> used to present the research finding concerning the questions answered in the questionnaire. </w:t>
      </w:r>
    </w:p>
    <w:p w:rsidR="00DC657D" w:rsidRPr="00AC0430" w:rsidP="00AC0430" w14:paraId="27E4DD95" w14:textId="77777777">
      <w:pPr>
        <w:spacing w:line="480" w:lineRule="auto"/>
        <w:ind w:firstLine="720"/>
        <w:jc w:val="both"/>
        <w:rPr>
          <w:rFonts w:cs="Times New Roman"/>
          <w:b/>
          <w:bCs/>
        </w:rPr>
      </w:pPr>
      <w:r w:rsidRPr="00AC0430">
        <w:rPr>
          <w:rFonts w:cs="Times New Roman"/>
          <w:b/>
          <w:bCs/>
        </w:rPr>
        <w:t>Cronbach’s alpha test.</w:t>
      </w:r>
    </w:p>
    <w:p w:rsidR="00DC657D" w:rsidRPr="00AC0430" w:rsidP="00AC0430" w14:paraId="1818735B" w14:textId="39C7250B">
      <w:pPr>
        <w:spacing w:line="480" w:lineRule="auto"/>
        <w:ind w:firstLine="720"/>
        <w:jc w:val="both"/>
        <w:rPr>
          <w:rFonts w:cs="Times New Roman"/>
        </w:rPr>
      </w:pPr>
      <w:r w:rsidRPr="00AC0430">
        <w:rPr>
          <w:rFonts w:cs="Times New Roman"/>
          <w:szCs w:val="24"/>
        </w:rPr>
        <w:t>A hypothesis is a projected explanation made on the assumption that the explanation is true and that it is the starting point for further investigation (Santos, 1999). This research utilizes the Cronbach’s Alpha test to test for the hypothesis of the research (</w:t>
      </w:r>
      <w:r w:rsidRPr="00AC0430">
        <w:rPr>
          <w:rFonts w:cs="Times New Roman"/>
          <w:szCs w:val="24"/>
        </w:rPr>
        <w:t>Tavakol</w:t>
      </w:r>
      <w:r w:rsidRPr="00AC0430">
        <w:rPr>
          <w:rFonts w:cs="Times New Roman"/>
          <w:szCs w:val="24"/>
        </w:rPr>
        <w:t xml:space="preserve"> et al, 2011). This method </w:t>
      </w:r>
      <w:r w:rsidRPr="00AC0430">
        <w:rPr>
          <w:rFonts w:cs="Times New Roman"/>
          <w:szCs w:val="24"/>
        </w:rPr>
        <w:t>involves measuring how closely related the items in the scale are. Cronbach’s Alpha test can be written as a function in the formula below:</w:t>
      </w:r>
    </w:p>
    <w:p w:rsidR="00DC657D" w:rsidRPr="00AC0430" w:rsidP="00AC0430" w14:paraId="7D0E2EB1" w14:textId="77777777">
      <w:pPr>
        <w:spacing w:line="480" w:lineRule="auto"/>
        <w:ind w:firstLine="720"/>
        <w:jc w:val="both"/>
        <w:rPr>
          <w:rFonts w:eastAsiaTheme="minorEastAsia" w:cs="Times New Roman"/>
          <w:szCs w:val="24"/>
        </w:rPr>
      </w:pPr>
      <m:oMath>
        <m:r>
          <w:rPr>
            <w:rFonts w:ascii="Cambria Math" w:hAnsi="Cambria Math" w:cs="Times New Roman"/>
            <w:szCs w:val="24"/>
          </w:rPr>
          <m:t>Cronbac</m:t>
        </m:r>
        <m:sSup>
          <m:sSupPr>
            <m:ctrlPr>
              <w:rPr>
                <w:rFonts w:ascii="Cambria Math" w:hAnsi="Cambria Math" w:cs="Times New Roman"/>
                <w:i/>
                <w:szCs w:val="24"/>
              </w:rPr>
            </m:ctrlPr>
          </m:sSupPr>
          <m:e>
            <m:r>
              <w:rPr>
                <w:rFonts w:ascii="Cambria Math" w:hAnsi="Cambria Math" w:cs="Times New Roman"/>
                <w:szCs w:val="24"/>
              </w:rPr>
              <m:t>h</m:t>
            </m:r>
          </m:e>
          <m:sup>
            <m:r>
              <w:rPr>
                <w:rFonts w:ascii="Cambria Math" w:hAnsi="Cambria Math" w:cs="Times New Roman"/>
                <w:szCs w:val="24"/>
              </w:rPr>
              <m:t>'</m:t>
            </m:r>
          </m:sup>
        </m:sSup>
        <m:r>
          <w:rPr>
            <w:rFonts w:ascii="Cambria Math" w:hAnsi="Cambria Math" w:cs="Times New Roman"/>
            <w:szCs w:val="24"/>
          </w:rPr>
          <m:t>salpha=</m:t>
        </m:r>
        <m:f>
          <m:fPr>
            <m:ctrlPr>
              <w:rPr>
                <w:rFonts w:ascii="Cambria Math" w:hAnsi="Cambria Math" w:eastAsiaTheme="minorEastAsia" w:cs="Times New Roman"/>
                <w:i/>
                <w:szCs w:val="24"/>
              </w:rPr>
            </m:ctrlPr>
          </m:fPr>
          <m:num>
            <m:ctrlPr>
              <w:rPr>
                <w:rFonts w:ascii="Cambria Math" w:hAnsi="Cambria Math" w:cs="Times New Roman"/>
                <w:i/>
                <w:szCs w:val="24"/>
              </w:rPr>
            </m:ctrlPr>
            <m:r>
              <w:rPr>
                <w:rFonts w:ascii="Cambria Math" w:hAnsi="Cambria Math" w:eastAsiaTheme="minorEastAsia" w:cs="Times New Roman"/>
                <w:szCs w:val="24"/>
              </w:rPr>
              <m:t>Nc</m:t>
            </m:r>
          </m:num>
          <m:den>
            <m:r>
              <w:rPr>
                <w:rFonts w:ascii="Cambria Math" w:hAnsi="Cambria Math" w:cs="Times New Roman"/>
                <w:szCs w:val="24"/>
              </w:rPr>
              <m:t>v+</m:t>
            </m:r>
            <m:d>
              <m:dPr>
                <m:ctrlPr>
                  <w:rPr>
                    <w:rFonts w:ascii="Cambria Math" w:hAnsi="Cambria Math" w:cs="Times New Roman"/>
                    <w:i/>
                    <w:szCs w:val="24"/>
                  </w:rPr>
                </m:ctrlPr>
              </m:dPr>
              <m:e>
                <m:r>
                  <w:rPr>
                    <w:rFonts w:ascii="Cambria Math" w:hAnsi="Cambria Math" w:cs="Times New Roman"/>
                    <w:szCs w:val="24"/>
                  </w:rPr>
                  <m:t>N-</m:t>
                </m:r>
              </m:e>
            </m:d>
            <m:r>
              <w:rPr>
                <w:rFonts w:ascii="Cambria Math" w:hAnsi="Cambria Math" w:cs="Times New Roman"/>
                <w:szCs w:val="24"/>
              </w:rPr>
              <m:t>c</m:t>
            </m:r>
          </m:den>
        </m:f>
      </m:oMath>
      <w:r w:rsidRPr="00AC0430">
        <w:rPr>
          <w:rFonts w:eastAsiaTheme="minorEastAsia" w:cs="Times New Roman"/>
          <w:szCs w:val="24"/>
        </w:rPr>
        <w:t xml:space="preserve">    </w:t>
      </w:r>
    </w:p>
    <w:p w:rsidR="00F7222C" w:rsidRPr="00AC0430" w:rsidP="00AC0430" w14:paraId="19B74F37" w14:textId="6EBD0804">
      <w:pPr>
        <w:spacing w:line="480" w:lineRule="auto"/>
        <w:ind w:firstLine="720"/>
        <w:jc w:val="both"/>
        <w:rPr>
          <w:rFonts w:cs="Times New Roman"/>
        </w:rPr>
      </w:pPr>
      <w:r w:rsidRPr="00AC0430">
        <w:rPr>
          <w:rFonts w:eastAsiaTheme="minorEastAsia" w:cs="Times New Roman"/>
          <w:szCs w:val="24"/>
        </w:rPr>
        <w:t>In this research, there are f</w:t>
      </w:r>
      <w:r w:rsidRPr="00AC0430">
        <w:rPr>
          <w:rFonts w:eastAsiaTheme="minorEastAsia" w:cs="Times New Roman"/>
          <w:szCs w:val="24"/>
        </w:rPr>
        <w:t>our research</w:t>
      </w:r>
      <w:r w:rsidRPr="00AC0430">
        <w:rPr>
          <w:rFonts w:eastAsiaTheme="minorEastAsia" w:cs="Times New Roman"/>
          <w:szCs w:val="24"/>
        </w:rPr>
        <w:t xml:space="preserve"> questions to measure the </w:t>
      </w:r>
      <w:r w:rsidRPr="00AC0430">
        <w:rPr>
          <w:rFonts w:eastAsiaTheme="minorEastAsia" w:cs="Times New Roman"/>
          <w:szCs w:val="24"/>
        </w:rPr>
        <w:t>benefits and weaknesses</w:t>
      </w:r>
      <w:r w:rsidRPr="00AC0430">
        <w:rPr>
          <w:rFonts w:eastAsiaTheme="minorEastAsia" w:cs="Times New Roman"/>
          <w:szCs w:val="24"/>
        </w:rPr>
        <w:t xml:space="preserve">. Each question involved a five-point Likert item from strongly agree to strongly disagree. To understand the reliability measure of those variables, Cronbach's Alpha was run on a sample of </w:t>
      </w:r>
      <w:r w:rsidRPr="00AC0430">
        <w:rPr>
          <w:rFonts w:eastAsiaTheme="minorEastAsia" w:cs="Times New Roman"/>
          <w:szCs w:val="24"/>
        </w:rPr>
        <w:t xml:space="preserve">20 participants of the research. </w:t>
      </w:r>
    </w:p>
    <w:p w:rsidR="00A809AE" w:rsidRPr="00AC0430" w:rsidP="00AC0430" w14:paraId="2B78691D" w14:textId="77777777">
      <w:pPr>
        <w:spacing w:line="480" w:lineRule="auto"/>
        <w:ind w:firstLine="720"/>
        <w:jc w:val="both"/>
        <w:rPr>
          <w:rFonts w:cs="Times New Roman"/>
          <w:b/>
          <w:bCs/>
        </w:rPr>
      </w:pPr>
      <w:r w:rsidRPr="00AC0430">
        <w:rPr>
          <w:rFonts w:cs="Times New Roman"/>
          <w:b/>
          <w:bCs/>
        </w:rPr>
        <w:t>Pearson’s correlation</w:t>
      </w:r>
      <w:r w:rsidRPr="00AC0430">
        <w:rPr>
          <w:rFonts w:cs="Times New Roman"/>
          <w:b/>
          <w:bCs/>
        </w:rPr>
        <w:t>.</w:t>
      </w:r>
    </w:p>
    <w:p w:rsidR="00A809AE" w:rsidRPr="00AC0430" w:rsidP="00AC0430" w14:paraId="213941A7" w14:textId="43F53241">
      <w:pPr>
        <w:spacing w:line="480" w:lineRule="auto"/>
        <w:ind w:firstLine="720"/>
        <w:jc w:val="both"/>
        <w:rPr>
          <w:rFonts w:eastAsiaTheme="minorEastAsia" w:cs="Times New Roman"/>
          <w:szCs w:val="24"/>
        </w:rPr>
      </w:pPr>
      <w:r w:rsidRPr="00AC0430">
        <w:rPr>
          <w:rFonts w:eastAsiaTheme="minorEastAsia" w:cs="Times New Roman"/>
          <w:szCs w:val="24"/>
        </w:rPr>
        <w:t>Pearson’s correlation is a technique used to investigate the associations between two variables that are quantitative and continuous (</w:t>
      </w:r>
      <w:r w:rsidRPr="00AC0430">
        <w:rPr>
          <w:rFonts w:eastAsiaTheme="minorEastAsia" w:cs="Times New Roman"/>
          <w:szCs w:val="24"/>
        </w:rPr>
        <w:t>Hauke</w:t>
      </w:r>
      <w:r w:rsidRPr="00AC0430">
        <w:rPr>
          <w:rFonts w:eastAsiaTheme="minorEastAsia" w:cs="Times New Roman"/>
          <w:szCs w:val="24"/>
        </w:rPr>
        <w:t xml:space="preserve"> et al, 2011)). In this research, Pearson's correlation </w:t>
      </w:r>
      <w:r w:rsidRPr="00AC0430">
        <w:rPr>
          <w:rFonts w:eastAsiaTheme="minorEastAsia" w:cs="Times New Roman"/>
          <w:szCs w:val="24"/>
        </w:rPr>
        <w:t>will be utilized</w:t>
      </w:r>
      <w:r w:rsidRPr="00AC0430">
        <w:rPr>
          <w:rFonts w:eastAsiaTheme="minorEastAsia" w:cs="Times New Roman"/>
          <w:szCs w:val="24"/>
        </w:rPr>
        <w:t xml:space="preserve"> to determine the relationship between age</w:t>
      </w:r>
      <w:r w:rsidRPr="00AC0430" w:rsidR="00E12B0D">
        <w:rPr>
          <w:rFonts w:eastAsiaTheme="minorEastAsia" w:cs="Times New Roman"/>
          <w:szCs w:val="24"/>
        </w:rPr>
        <w:t>, security</w:t>
      </w:r>
      <w:r w:rsidRPr="00AC0430">
        <w:rPr>
          <w:rFonts w:eastAsiaTheme="minorEastAsia" w:cs="Times New Roman"/>
          <w:szCs w:val="24"/>
        </w:rPr>
        <w:t xml:space="preserve">, </w:t>
      </w:r>
      <w:r w:rsidRPr="00AC0430" w:rsidR="00E12B0D">
        <w:rPr>
          <w:rFonts w:eastAsiaTheme="minorEastAsia" w:cs="Times New Roman"/>
          <w:szCs w:val="24"/>
        </w:rPr>
        <w:t xml:space="preserve">and the usability of the telemedicine systems to determine the benefits and </w:t>
      </w:r>
      <w:r w:rsidRPr="00AC0430" w:rsidR="00532DE5">
        <w:rPr>
          <w:rFonts w:eastAsiaTheme="minorEastAsia" w:cs="Times New Roman"/>
          <w:szCs w:val="24"/>
        </w:rPr>
        <w:t>weaknesses of telemedicine</w:t>
      </w:r>
      <w:r w:rsidRPr="00AC0430">
        <w:rPr>
          <w:rFonts w:eastAsiaTheme="minorEastAsia" w:cs="Times New Roman"/>
          <w:szCs w:val="24"/>
        </w:rPr>
        <w:t>. Therefore, the co-efficient represents the strength of association between the variables (</w:t>
      </w:r>
      <w:r w:rsidRPr="00AC0430">
        <w:rPr>
          <w:rFonts w:eastAsiaTheme="minorEastAsia" w:cs="Times New Roman"/>
          <w:szCs w:val="24"/>
        </w:rPr>
        <w:t>Segwick</w:t>
      </w:r>
      <w:r w:rsidRPr="00AC0430">
        <w:rPr>
          <w:rFonts w:eastAsiaTheme="minorEastAsia" w:cs="Times New Roman"/>
          <w:szCs w:val="24"/>
        </w:rPr>
        <w:t>, 2012)</w:t>
      </w:r>
      <w:r w:rsidRPr="00AC0430" w:rsidR="00CF51D5">
        <w:rPr>
          <w:rFonts w:eastAsiaTheme="minorEastAsia" w:cs="Times New Roman"/>
          <w:szCs w:val="24"/>
        </w:rPr>
        <w:t xml:space="preserve">. </w:t>
      </w:r>
      <w:r w:rsidRPr="00AC0430">
        <w:rPr>
          <w:rFonts w:eastAsiaTheme="minorEastAsia" w:cs="Times New Roman"/>
          <w:szCs w:val="24"/>
        </w:rPr>
        <w:t>In this research, SPSS</w:t>
      </w:r>
      <w:r w:rsidRPr="00AC0430" w:rsidR="00CF51D5">
        <w:rPr>
          <w:rFonts w:eastAsiaTheme="minorEastAsia" w:cs="Times New Roman"/>
          <w:szCs w:val="24"/>
        </w:rPr>
        <w:t xml:space="preserve"> will be utilized</w:t>
      </w:r>
      <w:r w:rsidRPr="00AC0430">
        <w:rPr>
          <w:rFonts w:eastAsiaTheme="minorEastAsia" w:cs="Times New Roman"/>
          <w:szCs w:val="24"/>
        </w:rPr>
        <w:t xml:space="preserve"> to calculate the person correlation involves specifying the height and the weight than running the Bivariate Pearson's correlation. </w:t>
      </w:r>
    </w:p>
    <w:p w:rsidR="004C0164" w:rsidRPr="00AC0430" w:rsidP="00AC0430" w14:paraId="278FADC7" w14:textId="77777777">
      <w:pPr>
        <w:spacing w:line="480" w:lineRule="auto"/>
        <w:ind w:firstLine="720"/>
        <w:jc w:val="both"/>
        <w:rPr>
          <w:rFonts w:cs="Times New Roman"/>
          <w:b/>
          <w:bCs/>
        </w:rPr>
      </w:pPr>
      <w:r w:rsidRPr="00AC0430">
        <w:rPr>
          <w:rFonts w:cs="Times New Roman"/>
          <w:b/>
          <w:bCs/>
        </w:rPr>
        <w:t>Multiple regression analysis.</w:t>
      </w:r>
    </w:p>
    <w:p w:rsidR="004C0164" w:rsidRPr="00AC0430" w:rsidP="00AC0430" w14:paraId="47618677" w14:textId="08D22049">
      <w:pPr>
        <w:spacing w:line="480" w:lineRule="auto"/>
        <w:ind w:firstLine="720"/>
        <w:jc w:val="both"/>
        <w:rPr>
          <w:rFonts w:eastAsiaTheme="minorEastAsia" w:cs="Times New Roman"/>
          <w:szCs w:val="24"/>
        </w:rPr>
      </w:pPr>
      <w:r w:rsidRPr="00AC0430">
        <w:rPr>
          <w:rFonts w:eastAsiaTheme="minorEastAsia" w:cs="Times New Roman"/>
          <w:szCs w:val="24"/>
        </w:rPr>
        <w:t>Regression analysis refers to a method of sorting out variables mathematically (</w:t>
      </w:r>
      <w:r w:rsidRPr="00AC0430">
        <w:rPr>
          <w:rFonts w:eastAsiaTheme="minorEastAsia" w:cs="Times New Roman"/>
          <w:szCs w:val="24"/>
        </w:rPr>
        <w:t>Chartteje</w:t>
      </w:r>
      <w:r w:rsidRPr="00AC0430">
        <w:rPr>
          <w:rFonts w:eastAsiaTheme="minorEastAsia" w:cs="Times New Roman"/>
          <w:szCs w:val="24"/>
        </w:rPr>
        <w:t xml:space="preserve"> et al, 2015). For instance, if the </w:t>
      </w:r>
      <w:r w:rsidRPr="00AC0430">
        <w:rPr>
          <w:rFonts w:eastAsiaTheme="minorEastAsia" w:cs="Times New Roman"/>
          <w:szCs w:val="24"/>
        </w:rPr>
        <w:t xml:space="preserve">hospitals </w:t>
      </w:r>
      <w:r w:rsidRPr="00AC0430" w:rsidR="008C0F34">
        <w:rPr>
          <w:rFonts w:eastAsiaTheme="minorEastAsia" w:cs="Times New Roman"/>
          <w:szCs w:val="24"/>
        </w:rPr>
        <w:t>are</w:t>
      </w:r>
      <w:r w:rsidRPr="00AC0430">
        <w:rPr>
          <w:rFonts w:eastAsiaTheme="minorEastAsia" w:cs="Times New Roman"/>
          <w:szCs w:val="24"/>
        </w:rPr>
        <w:t xml:space="preserve"> trying to predict the roles of telemedicine in fighting coronavirus, then we need to comprehend the number of participants that have utilized the hospital’s telemedicine system and what they utilized it for. </w:t>
      </w:r>
      <w:r w:rsidRPr="00AC0430" w:rsidR="000A76B7">
        <w:rPr>
          <w:rFonts w:eastAsiaTheme="minorEastAsia" w:cs="Times New Roman"/>
          <w:szCs w:val="24"/>
        </w:rPr>
        <w:t>These results can be divided into dependent and independent variables</w:t>
      </w:r>
      <w:r w:rsidRPr="00AC0430">
        <w:rPr>
          <w:rFonts w:eastAsiaTheme="minorEastAsia" w:cs="Times New Roman"/>
          <w:szCs w:val="24"/>
        </w:rPr>
        <w:t xml:space="preserve">. Dependent variables represent the factors you are trying to </w:t>
      </w:r>
      <w:r w:rsidRPr="00AC0430">
        <w:rPr>
          <w:rFonts w:eastAsiaTheme="minorEastAsia" w:cs="Times New Roman"/>
          <w:szCs w:val="24"/>
        </w:rPr>
        <w:t xml:space="preserve">study while independent variables represent the factors that have an impact on your dependent variable (Bates et al, 1988). </w:t>
      </w:r>
      <w:r w:rsidRPr="00AC0430" w:rsidR="008C0F34">
        <w:rPr>
          <w:rFonts w:eastAsiaTheme="minorEastAsia" w:cs="Times New Roman"/>
          <w:szCs w:val="24"/>
        </w:rPr>
        <w:t>The dependent variables will include participants' age and system usability. Independent variables involve how age influences whether a person views telemedicine as an advantage or not. Moreover, the simplicity or difficulty of using a telemedicine system affects how the whole concept is viewed. The research hypothesis is patients who experience satisfaction will view telemedicine as a strength rather than a disadvantage. The null hypothesis is patient satisfaction has nothing to do with whether they view telemedicine as both a benefit or a weakness.</w:t>
      </w:r>
      <w:r w:rsidRPr="00AC0430" w:rsidR="008C0F34">
        <w:rPr>
          <w:rFonts w:eastAsiaTheme="minorEastAsia" w:cs="Times New Roman"/>
          <w:szCs w:val="24"/>
        </w:rPr>
        <w:t xml:space="preserve"> </w:t>
      </w:r>
      <w:r w:rsidRPr="00AC0430">
        <w:rPr>
          <w:rFonts w:eastAsiaTheme="minorEastAsia" w:cs="Times New Roman"/>
          <w:szCs w:val="24"/>
        </w:rPr>
        <w:t xml:space="preserve">Regression analysis helps the researcher to comprehend the factors that influence employee retention most, the factor that is to be assumed and how these factors influence each other. </w:t>
      </w:r>
      <w:r w:rsidRPr="00AC0430" w:rsidR="007955DE">
        <w:rPr>
          <w:rFonts w:eastAsiaTheme="minorEastAsia" w:cs="Times New Roman"/>
          <w:szCs w:val="24"/>
        </w:rPr>
        <w:t>The expected significance should be above 85% showing that age, system security, and usability affect the perception of patients towards telemedicine.</w:t>
      </w:r>
    </w:p>
    <w:p w:rsidR="00B76EF1" w:rsidRPr="00AC0430" w:rsidP="00AC0430" w14:paraId="756EE059" w14:textId="10701EDA">
      <w:pPr>
        <w:spacing w:line="480" w:lineRule="auto"/>
        <w:ind w:firstLine="720"/>
        <w:jc w:val="both"/>
        <w:rPr>
          <w:rFonts w:cs="Times New Roman"/>
          <w:b/>
          <w:bCs/>
        </w:rPr>
      </w:pPr>
      <w:r w:rsidRPr="00AC0430">
        <w:rPr>
          <w:rFonts w:cs="Times New Roman"/>
          <w:b/>
          <w:bCs/>
        </w:rPr>
        <w:t xml:space="preserve">Conclusion. </w:t>
      </w:r>
    </w:p>
    <w:p w:rsidR="00CB40A6" w:rsidRPr="00AC0430" w:rsidP="00AC0430" w14:paraId="385C5229" w14:textId="67242930">
      <w:pPr>
        <w:spacing w:line="480" w:lineRule="auto"/>
        <w:ind w:firstLine="720"/>
        <w:jc w:val="both"/>
        <w:rPr>
          <w:rFonts w:cs="Times New Roman"/>
          <w:szCs w:val="24"/>
        </w:rPr>
      </w:pPr>
      <w:r w:rsidRPr="00AC0430">
        <w:rPr>
          <w:rFonts w:cs="Times New Roman"/>
          <w:szCs w:val="24"/>
        </w:rPr>
        <w:t>In conclusion, d</w:t>
      </w:r>
      <w:r w:rsidRPr="00AC0430">
        <w:rPr>
          <w:rFonts w:cs="Times New Roman"/>
          <w:szCs w:val="24"/>
        </w:rPr>
        <w:t>ata analysis is useful because it helps an organization or a business firm comprehend the challenges and problems facing the organization by developing structures and visualizations that help in the interpretation of the data.</w:t>
      </w:r>
      <w:r w:rsidRPr="00AC0430" w:rsidR="00795A1D">
        <w:rPr>
          <w:rFonts w:cs="Times New Roman"/>
          <w:szCs w:val="24"/>
        </w:rPr>
        <w:t xml:space="preserve"> Data analysis methods are dependent on what results in one needs to attain. Therefore, this research will involve the use of descriptive analysis involving Cronbach's alpha test, </w:t>
      </w:r>
      <w:r w:rsidRPr="00AC0430" w:rsidR="00436C6F">
        <w:rPr>
          <w:rFonts w:cs="Times New Roman"/>
          <w:szCs w:val="24"/>
        </w:rPr>
        <w:t>Pearson’s</w:t>
      </w:r>
      <w:r w:rsidRPr="00AC0430" w:rsidR="00795A1D">
        <w:rPr>
          <w:rFonts w:cs="Times New Roman"/>
          <w:szCs w:val="24"/>
        </w:rPr>
        <w:t xml:space="preserve"> correlation, and multiple regression analysis. </w:t>
      </w:r>
    </w:p>
    <w:p w:rsidR="00A809AE" w14:paraId="00FC3905" w14:textId="353990EA">
      <w:pPr>
        <w:rPr>
          <w:szCs w:val="24"/>
        </w:rPr>
      </w:pPr>
      <w:r>
        <w:rPr>
          <w:szCs w:val="24"/>
        </w:rPr>
        <w:br w:type="page"/>
      </w:r>
    </w:p>
    <w:p w:rsidR="00436C6F" w:rsidRPr="00543F72" w:rsidP="00421318" w14:paraId="200C2B6C" w14:textId="77777777">
      <w:pPr>
        <w:spacing w:line="480" w:lineRule="auto"/>
        <w:ind w:firstLine="720"/>
        <w:jc w:val="center"/>
        <w:rPr>
          <w:rFonts w:eastAsiaTheme="minorEastAsia" w:cs="Times New Roman"/>
          <w:b/>
          <w:bCs/>
          <w:szCs w:val="24"/>
        </w:rPr>
      </w:pPr>
      <w:r w:rsidRPr="00543F72">
        <w:rPr>
          <w:rFonts w:eastAsiaTheme="minorEastAsia" w:cs="Times New Roman"/>
          <w:b/>
          <w:bCs/>
          <w:szCs w:val="24"/>
        </w:rPr>
        <w:t>References.</w:t>
      </w:r>
    </w:p>
    <w:p w:rsidR="00436C6F" w:rsidRPr="00543F72" w:rsidP="00436C6F" w14:paraId="0DEA9558"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Aruna</w:t>
      </w:r>
      <w:r w:rsidRPr="00543F72">
        <w:rPr>
          <w:rFonts w:cs="Times New Roman"/>
          <w:color w:val="222222"/>
          <w:szCs w:val="24"/>
          <w:shd w:val="clear" w:color="auto" w:fill="FFFFFF"/>
        </w:rPr>
        <w:t xml:space="preserve">, M., &amp; </w:t>
      </w:r>
      <w:r w:rsidRPr="00543F72">
        <w:rPr>
          <w:rFonts w:cs="Times New Roman"/>
          <w:color w:val="222222"/>
          <w:szCs w:val="24"/>
          <w:shd w:val="clear" w:color="auto" w:fill="FFFFFF"/>
        </w:rPr>
        <w:t>Anitha</w:t>
      </w:r>
      <w:r w:rsidRPr="00543F72">
        <w:rPr>
          <w:rFonts w:cs="Times New Roman"/>
          <w:color w:val="222222"/>
          <w:szCs w:val="24"/>
          <w:shd w:val="clear" w:color="auto" w:fill="FFFFFF"/>
        </w:rPr>
        <w:t>, J. (2015). Employee retention enablers: Generation Y employees. </w:t>
      </w:r>
      <w:r w:rsidRPr="00543F72">
        <w:rPr>
          <w:rFonts w:cs="Times New Roman"/>
          <w:i/>
          <w:iCs/>
          <w:color w:val="222222"/>
          <w:szCs w:val="24"/>
          <w:shd w:val="clear" w:color="auto" w:fill="FFFFFF"/>
        </w:rPr>
        <w:t>SCMS Journal of Indian Management</w:t>
      </w:r>
      <w:r w:rsidRPr="00543F72">
        <w:rPr>
          <w:rFonts w:cs="Times New Roman"/>
          <w:color w:val="222222"/>
          <w:szCs w:val="24"/>
          <w:shd w:val="clear" w:color="auto" w:fill="FFFFFF"/>
        </w:rPr>
        <w:t>, </w:t>
      </w:r>
      <w:r w:rsidRPr="00543F72">
        <w:rPr>
          <w:rFonts w:cs="Times New Roman"/>
          <w:i/>
          <w:iCs/>
          <w:color w:val="222222"/>
          <w:szCs w:val="24"/>
          <w:shd w:val="clear" w:color="auto" w:fill="FFFFFF"/>
        </w:rPr>
        <w:t>12</w:t>
      </w:r>
      <w:r w:rsidRPr="00543F72">
        <w:rPr>
          <w:rFonts w:cs="Times New Roman"/>
          <w:color w:val="222222"/>
          <w:szCs w:val="24"/>
          <w:shd w:val="clear" w:color="auto" w:fill="FFFFFF"/>
        </w:rPr>
        <w:t>(3), 94.</w:t>
      </w:r>
    </w:p>
    <w:p w:rsidR="00436C6F" w:rsidRPr="00543F72" w:rsidP="00436C6F" w14:paraId="7B7012E7"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 xml:space="preserve">Bailey, J. (2008). First step in qualitative data analysis: transcribing. </w:t>
      </w:r>
      <w:r w:rsidRPr="00543F72">
        <w:rPr>
          <w:rFonts w:cs="Times New Roman"/>
          <w:i/>
          <w:iCs/>
          <w:color w:val="222222"/>
          <w:szCs w:val="24"/>
          <w:shd w:val="clear" w:color="auto" w:fill="FFFFFF"/>
        </w:rPr>
        <w:t>Family practice</w:t>
      </w:r>
      <w:r w:rsidRPr="00543F72">
        <w:rPr>
          <w:rFonts w:cs="Times New Roman"/>
          <w:color w:val="222222"/>
          <w:szCs w:val="24"/>
          <w:shd w:val="clear" w:color="auto" w:fill="FFFFFF"/>
        </w:rPr>
        <w:t>, </w:t>
      </w:r>
      <w:r w:rsidRPr="00543F72">
        <w:rPr>
          <w:rFonts w:cs="Times New Roman"/>
          <w:i/>
          <w:iCs/>
          <w:color w:val="222222"/>
          <w:szCs w:val="24"/>
          <w:shd w:val="clear" w:color="auto" w:fill="FFFFFF"/>
        </w:rPr>
        <w:t>25</w:t>
      </w:r>
      <w:r w:rsidRPr="00543F72">
        <w:rPr>
          <w:rFonts w:cs="Times New Roman"/>
          <w:color w:val="222222"/>
          <w:szCs w:val="24"/>
          <w:shd w:val="clear" w:color="auto" w:fill="FFFFFF"/>
        </w:rPr>
        <w:t>(2), 127-131.</w:t>
      </w:r>
    </w:p>
    <w:p w:rsidR="00436C6F" w:rsidRPr="00543F72" w:rsidP="00436C6F" w14:paraId="15922221"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Bates, D. M., &amp; Watts, D. G. (1988). </w:t>
      </w:r>
      <w:r w:rsidRPr="00543F72">
        <w:rPr>
          <w:rFonts w:cs="Times New Roman"/>
          <w:i/>
          <w:iCs/>
          <w:color w:val="222222"/>
          <w:szCs w:val="24"/>
          <w:shd w:val="clear" w:color="auto" w:fill="FFFFFF"/>
        </w:rPr>
        <w:t>Nonlinear regression analysis and its applications</w:t>
      </w:r>
      <w:r w:rsidRPr="00543F72">
        <w:rPr>
          <w:rFonts w:cs="Times New Roman"/>
          <w:color w:val="222222"/>
          <w:szCs w:val="24"/>
          <w:shd w:val="clear" w:color="auto" w:fill="FFFFFF"/>
        </w:rPr>
        <w:t> (Vol. 2). New York: Wiley.</w:t>
      </w:r>
    </w:p>
    <w:p w:rsidR="00436C6F" w:rsidRPr="00543F72" w:rsidP="00436C6F" w14:paraId="2234095B" w14:textId="77777777">
      <w:pPr>
        <w:spacing w:line="480" w:lineRule="auto"/>
        <w:ind w:left="720" w:hanging="720"/>
        <w:jc w:val="both"/>
        <w:rPr>
          <w:rFonts w:cs="Times New Roman"/>
          <w:szCs w:val="24"/>
        </w:rPr>
      </w:pPr>
      <w:r w:rsidRPr="00543F72">
        <w:rPr>
          <w:rFonts w:cs="Times New Roman"/>
          <w:color w:val="222222"/>
          <w:szCs w:val="24"/>
          <w:shd w:val="clear" w:color="auto" w:fill="FFFFFF"/>
        </w:rPr>
        <w:t xml:space="preserve">Chatterjee, S., &amp; </w:t>
      </w:r>
      <w:r w:rsidRPr="00543F72">
        <w:rPr>
          <w:rFonts w:cs="Times New Roman"/>
          <w:color w:val="222222"/>
          <w:szCs w:val="24"/>
          <w:shd w:val="clear" w:color="auto" w:fill="FFFFFF"/>
        </w:rPr>
        <w:t>Hadi</w:t>
      </w:r>
      <w:r w:rsidRPr="00543F72">
        <w:rPr>
          <w:rFonts w:cs="Times New Roman"/>
          <w:color w:val="222222"/>
          <w:szCs w:val="24"/>
          <w:shd w:val="clear" w:color="auto" w:fill="FFFFFF"/>
        </w:rPr>
        <w:t>, A. S. (2015). </w:t>
      </w:r>
      <w:r w:rsidRPr="00543F72">
        <w:rPr>
          <w:rFonts w:cs="Times New Roman"/>
          <w:i/>
          <w:iCs/>
          <w:color w:val="222222"/>
          <w:szCs w:val="24"/>
          <w:shd w:val="clear" w:color="auto" w:fill="FFFFFF"/>
        </w:rPr>
        <w:t>Regression analysis by example</w:t>
      </w:r>
      <w:r w:rsidRPr="00543F72">
        <w:rPr>
          <w:rFonts w:cs="Times New Roman"/>
          <w:color w:val="222222"/>
          <w:szCs w:val="24"/>
          <w:shd w:val="clear" w:color="auto" w:fill="FFFFFF"/>
        </w:rPr>
        <w:t>. John Wiley &amp; Sons.</w:t>
      </w:r>
    </w:p>
    <w:p w:rsidR="00436C6F" w:rsidRPr="00543F72" w:rsidP="00436C6F" w14:paraId="4157B8D5"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Hauke</w:t>
      </w:r>
      <w:r w:rsidRPr="00543F72">
        <w:rPr>
          <w:rFonts w:cs="Times New Roman"/>
          <w:color w:val="222222"/>
          <w:szCs w:val="24"/>
          <w:shd w:val="clear" w:color="auto" w:fill="FFFFFF"/>
        </w:rPr>
        <w:t xml:space="preserve">, J., &amp; </w:t>
      </w:r>
      <w:r w:rsidRPr="00543F72">
        <w:rPr>
          <w:rFonts w:cs="Times New Roman"/>
          <w:color w:val="222222"/>
          <w:szCs w:val="24"/>
          <w:shd w:val="clear" w:color="auto" w:fill="FFFFFF"/>
        </w:rPr>
        <w:t>Kossowski</w:t>
      </w:r>
      <w:r w:rsidRPr="00543F72">
        <w:rPr>
          <w:rFonts w:cs="Times New Roman"/>
          <w:color w:val="222222"/>
          <w:szCs w:val="24"/>
          <w:shd w:val="clear" w:color="auto" w:fill="FFFFFF"/>
        </w:rPr>
        <w:t>, T. (2011). Comparison of values of Pearson's and Spearman's correlation coefficients on the same sets of data. </w:t>
      </w:r>
      <w:r w:rsidRPr="00543F72">
        <w:rPr>
          <w:rFonts w:cs="Times New Roman"/>
          <w:i/>
          <w:iCs/>
          <w:color w:val="222222"/>
          <w:szCs w:val="24"/>
          <w:shd w:val="clear" w:color="auto" w:fill="FFFFFF"/>
        </w:rPr>
        <w:t xml:space="preserve">Quaestiones </w:t>
      </w:r>
      <w:r w:rsidRPr="00543F72">
        <w:rPr>
          <w:rFonts w:cs="Times New Roman"/>
          <w:i/>
          <w:iCs/>
          <w:color w:val="222222"/>
          <w:szCs w:val="24"/>
          <w:shd w:val="clear" w:color="auto" w:fill="FFFFFF"/>
        </w:rPr>
        <w:t>geographicae</w:t>
      </w:r>
      <w:r w:rsidRPr="00543F72">
        <w:rPr>
          <w:rFonts w:cs="Times New Roman"/>
          <w:color w:val="222222"/>
          <w:szCs w:val="24"/>
          <w:shd w:val="clear" w:color="auto" w:fill="FFFFFF"/>
        </w:rPr>
        <w:t>, </w:t>
      </w:r>
      <w:r w:rsidRPr="00543F72">
        <w:rPr>
          <w:rFonts w:cs="Times New Roman"/>
          <w:i/>
          <w:iCs/>
          <w:color w:val="222222"/>
          <w:szCs w:val="24"/>
          <w:shd w:val="clear" w:color="auto" w:fill="FFFFFF"/>
        </w:rPr>
        <w:t>30</w:t>
      </w:r>
      <w:r w:rsidRPr="00543F72">
        <w:rPr>
          <w:rFonts w:cs="Times New Roman"/>
          <w:color w:val="222222"/>
          <w:szCs w:val="24"/>
          <w:shd w:val="clear" w:color="auto" w:fill="FFFFFF"/>
        </w:rPr>
        <w:t>(2), 87-93.</w:t>
      </w:r>
    </w:p>
    <w:p w:rsidR="00436C6F" w:rsidRPr="00543F72" w:rsidP="00436C6F" w14:paraId="5D5A95E0"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Santos, J. R. A. (1999). Cronbach’s alpha: A tool for assessing the reliability of scales. </w:t>
      </w:r>
      <w:r w:rsidRPr="00543F72">
        <w:rPr>
          <w:rFonts w:cs="Times New Roman"/>
          <w:i/>
          <w:iCs/>
          <w:color w:val="222222"/>
          <w:szCs w:val="24"/>
          <w:shd w:val="clear" w:color="auto" w:fill="FFFFFF"/>
        </w:rPr>
        <w:t>Journal of extension</w:t>
      </w:r>
      <w:r w:rsidRPr="00543F72">
        <w:rPr>
          <w:rFonts w:cs="Times New Roman"/>
          <w:color w:val="222222"/>
          <w:szCs w:val="24"/>
          <w:shd w:val="clear" w:color="auto" w:fill="FFFFFF"/>
        </w:rPr>
        <w:t>, </w:t>
      </w:r>
      <w:r w:rsidRPr="00543F72">
        <w:rPr>
          <w:rFonts w:cs="Times New Roman"/>
          <w:i/>
          <w:iCs/>
          <w:color w:val="222222"/>
          <w:szCs w:val="24"/>
          <w:shd w:val="clear" w:color="auto" w:fill="FFFFFF"/>
        </w:rPr>
        <w:t>37</w:t>
      </w:r>
      <w:r w:rsidRPr="00543F72">
        <w:rPr>
          <w:rFonts w:cs="Times New Roman"/>
          <w:color w:val="222222"/>
          <w:szCs w:val="24"/>
          <w:shd w:val="clear" w:color="auto" w:fill="FFFFFF"/>
        </w:rPr>
        <w:t>(2), 1-5.</w:t>
      </w:r>
    </w:p>
    <w:p w:rsidR="00436C6F" w:rsidRPr="00543F72" w:rsidP="00436C6F" w14:paraId="77348BB0"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Sedgwick, P. (2012). Pearson’s correlation coefficient. </w:t>
      </w:r>
      <w:r w:rsidRPr="00543F72">
        <w:rPr>
          <w:rFonts w:cs="Times New Roman"/>
          <w:i/>
          <w:iCs/>
          <w:color w:val="222222"/>
          <w:szCs w:val="24"/>
          <w:shd w:val="clear" w:color="auto" w:fill="FFFFFF"/>
        </w:rPr>
        <w:t>Bmj</w:t>
      </w:r>
      <w:r w:rsidRPr="00543F72">
        <w:rPr>
          <w:rFonts w:cs="Times New Roman"/>
          <w:color w:val="222222"/>
          <w:szCs w:val="24"/>
          <w:shd w:val="clear" w:color="auto" w:fill="FFFFFF"/>
        </w:rPr>
        <w:t>, </w:t>
      </w:r>
      <w:r w:rsidRPr="00543F72">
        <w:rPr>
          <w:rFonts w:cs="Times New Roman"/>
          <w:i/>
          <w:iCs/>
          <w:color w:val="222222"/>
          <w:szCs w:val="24"/>
          <w:shd w:val="clear" w:color="auto" w:fill="FFFFFF"/>
        </w:rPr>
        <w:t>345</w:t>
      </w:r>
      <w:r w:rsidRPr="00543F72">
        <w:rPr>
          <w:rFonts w:cs="Times New Roman"/>
          <w:color w:val="222222"/>
          <w:szCs w:val="24"/>
          <w:shd w:val="clear" w:color="auto" w:fill="FFFFFF"/>
        </w:rPr>
        <w:t>, e4483.</w:t>
      </w:r>
    </w:p>
    <w:p w:rsidR="00436C6F" w:rsidRPr="00543F72" w:rsidP="00436C6F" w14:paraId="35DFCC8F"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Sgier</w:t>
      </w:r>
      <w:r w:rsidRPr="00543F72">
        <w:rPr>
          <w:rFonts w:cs="Times New Roman"/>
          <w:color w:val="222222"/>
          <w:szCs w:val="24"/>
          <w:shd w:val="clear" w:color="auto" w:fill="FFFFFF"/>
        </w:rPr>
        <w:t>, L. (2012). Qualitative data analysis. </w:t>
      </w:r>
      <w:r w:rsidRPr="00543F72">
        <w:rPr>
          <w:rFonts w:cs="Times New Roman"/>
          <w:i/>
          <w:iCs/>
          <w:color w:val="222222"/>
          <w:szCs w:val="24"/>
          <w:shd w:val="clear" w:color="auto" w:fill="FFFFFF"/>
        </w:rPr>
        <w:t xml:space="preserve">An </w:t>
      </w:r>
      <w:r w:rsidRPr="00543F72">
        <w:rPr>
          <w:rFonts w:cs="Times New Roman"/>
          <w:i/>
          <w:iCs/>
          <w:color w:val="222222"/>
          <w:szCs w:val="24"/>
          <w:shd w:val="clear" w:color="auto" w:fill="FFFFFF"/>
        </w:rPr>
        <w:t>Initiat</w:t>
      </w:r>
      <w:r w:rsidRPr="00543F72">
        <w:rPr>
          <w:rFonts w:cs="Times New Roman"/>
          <w:i/>
          <w:iCs/>
          <w:color w:val="222222"/>
          <w:szCs w:val="24"/>
          <w:shd w:val="clear" w:color="auto" w:fill="FFFFFF"/>
        </w:rPr>
        <w:t xml:space="preserve">. </w:t>
      </w:r>
      <w:r w:rsidRPr="00543F72">
        <w:rPr>
          <w:rFonts w:cs="Times New Roman"/>
          <w:i/>
          <w:iCs/>
          <w:color w:val="222222"/>
          <w:szCs w:val="24"/>
          <w:shd w:val="clear" w:color="auto" w:fill="FFFFFF"/>
        </w:rPr>
        <w:t>Gebert</w:t>
      </w:r>
      <w:r w:rsidRPr="00543F72">
        <w:rPr>
          <w:rFonts w:cs="Times New Roman"/>
          <w:i/>
          <w:iCs/>
          <w:color w:val="222222"/>
          <w:szCs w:val="24"/>
          <w:shd w:val="clear" w:color="auto" w:fill="FFFFFF"/>
        </w:rPr>
        <w:t xml:space="preserve"> </w:t>
      </w:r>
      <w:r w:rsidRPr="00543F72">
        <w:rPr>
          <w:rFonts w:cs="Times New Roman"/>
          <w:i/>
          <w:iCs/>
          <w:color w:val="222222"/>
          <w:szCs w:val="24"/>
          <w:shd w:val="clear" w:color="auto" w:fill="FFFFFF"/>
        </w:rPr>
        <w:t>Ruf</w:t>
      </w:r>
      <w:r w:rsidRPr="00543F72">
        <w:rPr>
          <w:rFonts w:cs="Times New Roman"/>
          <w:i/>
          <w:iCs/>
          <w:color w:val="222222"/>
          <w:szCs w:val="24"/>
          <w:shd w:val="clear" w:color="auto" w:fill="FFFFFF"/>
        </w:rPr>
        <w:t xml:space="preserve"> </w:t>
      </w:r>
      <w:r w:rsidRPr="00543F72">
        <w:rPr>
          <w:rFonts w:cs="Times New Roman"/>
          <w:i/>
          <w:iCs/>
          <w:color w:val="222222"/>
          <w:szCs w:val="24"/>
          <w:shd w:val="clear" w:color="auto" w:fill="FFFFFF"/>
        </w:rPr>
        <w:t>Stift</w:t>
      </w:r>
      <w:r w:rsidRPr="00543F72">
        <w:rPr>
          <w:rFonts w:cs="Times New Roman"/>
          <w:color w:val="222222"/>
          <w:szCs w:val="24"/>
          <w:shd w:val="clear" w:color="auto" w:fill="FFFFFF"/>
        </w:rPr>
        <w:t>, </w:t>
      </w:r>
      <w:r w:rsidRPr="00543F72">
        <w:rPr>
          <w:rFonts w:cs="Times New Roman"/>
          <w:i/>
          <w:iCs/>
          <w:color w:val="222222"/>
          <w:szCs w:val="24"/>
          <w:shd w:val="clear" w:color="auto" w:fill="FFFFFF"/>
        </w:rPr>
        <w:t>19</w:t>
      </w:r>
      <w:r w:rsidRPr="00543F72">
        <w:rPr>
          <w:rFonts w:cs="Times New Roman"/>
          <w:color w:val="222222"/>
          <w:szCs w:val="24"/>
          <w:shd w:val="clear" w:color="auto" w:fill="FFFFFF"/>
        </w:rPr>
        <w:t>, 19-21.</w:t>
      </w:r>
    </w:p>
    <w:p w:rsidR="00436C6F" w:rsidRPr="00543F72" w:rsidP="00436C6F" w14:paraId="65B759E5"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Tavakol</w:t>
      </w:r>
      <w:r w:rsidRPr="00543F72">
        <w:rPr>
          <w:rFonts w:cs="Times New Roman"/>
          <w:color w:val="222222"/>
          <w:szCs w:val="24"/>
          <w:shd w:val="clear" w:color="auto" w:fill="FFFFFF"/>
        </w:rPr>
        <w:t xml:space="preserve">, M., &amp; </w:t>
      </w:r>
      <w:r w:rsidRPr="00543F72">
        <w:rPr>
          <w:rFonts w:cs="Times New Roman"/>
          <w:color w:val="222222"/>
          <w:szCs w:val="24"/>
          <w:shd w:val="clear" w:color="auto" w:fill="FFFFFF"/>
        </w:rPr>
        <w:t>Dennick</w:t>
      </w:r>
      <w:r w:rsidRPr="00543F72">
        <w:rPr>
          <w:rFonts w:cs="Times New Roman"/>
          <w:color w:val="222222"/>
          <w:szCs w:val="24"/>
          <w:shd w:val="clear" w:color="auto" w:fill="FFFFFF"/>
        </w:rPr>
        <w:t>, R. (2011). Making sense of Cronbach's alpha. </w:t>
      </w:r>
      <w:r w:rsidRPr="00543F72">
        <w:rPr>
          <w:rFonts w:cs="Times New Roman"/>
          <w:i/>
          <w:iCs/>
          <w:color w:val="222222"/>
          <w:szCs w:val="24"/>
          <w:shd w:val="clear" w:color="auto" w:fill="FFFFFF"/>
        </w:rPr>
        <w:t>International journal of medical education</w:t>
      </w:r>
      <w:r w:rsidRPr="00543F72">
        <w:rPr>
          <w:rFonts w:cs="Times New Roman"/>
          <w:color w:val="222222"/>
          <w:szCs w:val="24"/>
          <w:shd w:val="clear" w:color="auto" w:fill="FFFFFF"/>
        </w:rPr>
        <w:t>, </w:t>
      </w:r>
      <w:r w:rsidRPr="00543F72">
        <w:rPr>
          <w:rFonts w:cs="Times New Roman"/>
          <w:i/>
          <w:iCs/>
          <w:color w:val="222222"/>
          <w:szCs w:val="24"/>
          <w:shd w:val="clear" w:color="auto" w:fill="FFFFFF"/>
        </w:rPr>
        <w:t>2</w:t>
      </w:r>
      <w:r w:rsidRPr="00543F72">
        <w:rPr>
          <w:rFonts w:cs="Times New Roman"/>
          <w:color w:val="222222"/>
          <w:szCs w:val="24"/>
          <w:shd w:val="clear" w:color="auto" w:fill="FFFFFF"/>
        </w:rPr>
        <w:t>, 53.</w:t>
      </w:r>
    </w:p>
    <w:p w:rsidR="00436C6F" w:rsidRPr="00543F72" w:rsidP="00436C6F" w14:paraId="46009F20" w14:textId="77777777">
      <w:pPr>
        <w:spacing w:line="480" w:lineRule="auto"/>
        <w:ind w:left="720" w:hanging="720"/>
        <w:jc w:val="both"/>
        <w:rPr>
          <w:rFonts w:cs="Times New Roman"/>
          <w:color w:val="222222"/>
          <w:szCs w:val="24"/>
          <w:shd w:val="clear" w:color="auto" w:fill="FFFFFF"/>
        </w:rPr>
      </w:pPr>
      <w:r w:rsidRPr="00543F72">
        <w:rPr>
          <w:rFonts w:cs="Times New Roman"/>
          <w:color w:val="222222"/>
          <w:szCs w:val="24"/>
          <w:shd w:val="clear" w:color="auto" w:fill="FFFFFF"/>
        </w:rPr>
        <w:t>Tesch</w:t>
      </w:r>
      <w:r w:rsidRPr="00543F72">
        <w:rPr>
          <w:rFonts w:cs="Times New Roman"/>
          <w:color w:val="222222"/>
          <w:szCs w:val="24"/>
          <w:shd w:val="clear" w:color="auto" w:fill="FFFFFF"/>
        </w:rPr>
        <w:t>, R. (2013). </w:t>
      </w:r>
      <w:r w:rsidRPr="00543F72">
        <w:rPr>
          <w:rFonts w:cs="Times New Roman"/>
          <w:i/>
          <w:iCs/>
          <w:color w:val="222222"/>
          <w:szCs w:val="24"/>
          <w:shd w:val="clear" w:color="auto" w:fill="FFFFFF"/>
        </w:rPr>
        <w:t>Qualitative research: Analysis types and software</w:t>
      </w:r>
      <w:r w:rsidRPr="00543F72">
        <w:rPr>
          <w:rFonts w:cs="Times New Roman"/>
          <w:color w:val="222222"/>
          <w:szCs w:val="24"/>
          <w:shd w:val="clear" w:color="auto" w:fill="FFFFFF"/>
        </w:rPr>
        <w:t>. Routledge.</w:t>
      </w:r>
    </w:p>
    <w:p w:rsidR="00436C6F" w14:paraId="7426B8D9" w14:textId="56A200F9">
      <w:pPr>
        <w:rPr>
          <w:szCs w:val="24"/>
        </w:rPr>
      </w:pPr>
    </w:p>
    <w:p w:rsidR="00436C6F" w14:paraId="40FC3732" w14:textId="77777777"/>
    <w:p w:rsidR="00A809AE" w14:paraId="56CFE83D" w14:textId="010D5776"/>
    <w:p w:rsidR="00A809AE" w14:paraId="77E10189" w14:textId="0E04E367"/>
    <w:p w:rsidR="00A809AE" w14:paraId="6C94A462" w14:textId="1D7325C3"/>
    <w:p w:rsidR="00A809AE" w14:paraId="657C5B8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07"/>
    <w:rsid w:val="000A76B7"/>
    <w:rsid w:val="00385D07"/>
    <w:rsid w:val="004052D9"/>
    <w:rsid w:val="00421318"/>
    <w:rsid w:val="00436C6F"/>
    <w:rsid w:val="004C0164"/>
    <w:rsid w:val="00532DE5"/>
    <w:rsid w:val="00543F72"/>
    <w:rsid w:val="006F264D"/>
    <w:rsid w:val="007955DE"/>
    <w:rsid w:val="00795A1D"/>
    <w:rsid w:val="00837DFC"/>
    <w:rsid w:val="008C0F34"/>
    <w:rsid w:val="00914C7D"/>
    <w:rsid w:val="00924E38"/>
    <w:rsid w:val="00A809AE"/>
    <w:rsid w:val="00AC0430"/>
    <w:rsid w:val="00B04EFA"/>
    <w:rsid w:val="00B76EF1"/>
    <w:rsid w:val="00CB40A6"/>
    <w:rsid w:val="00CF51D5"/>
    <w:rsid w:val="00D325EC"/>
    <w:rsid w:val="00D9081A"/>
    <w:rsid w:val="00D93ADA"/>
    <w:rsid w:val="00DC657D"/>
    <w:rsid w:val="00E12B0D"/>
    <w:rsid w:val="00E36DD4"/>
    <w:rsid w:val="00F7222C"/>
    <w:rsid w:val="00F83A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F1C138"/>
  <w15:chartTrackingRefBased/>
  <w15:docId w15:val="{B6CEF33B-C81C-4166-8050-910F7E9B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925</Words>
  <Characters>5275</Characters>
  <Application>Microsoft Office Word</Application>
  <DocSecurity>0</DocSecurity>
  <Lines>43</Lines>
  <Paragraphs>12</Paragraphs>
  <ScaleCrop>false</ScaleCrop>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2021-08-09T10:21:00Z</dcterms:created>
  <dcterms:modified xsi:type="dcterms:W3CDTF">2021-08-09T11:28:00Z</dcterms:modified>
</cp:coreProperties>
</file>